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B5" w:rsidRDefault="00426F46" w:rsidP="004B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4B7BB5" w:rsidRDefault="00426F46" w:rsidP="004B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4B7BB5" w:rsidRDefault="00426F46" w:rsidP="004B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4B7BB5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06-2/463-14                                                     </w:t>
      </w:r>
    </w:p>
    <w:p w:rsidR="004B7BB5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B7BB5" w:rsidRDefault="00426F46" w:rsidP="004B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B7BB5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BB5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26F46" w:rsidP="004B7BB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4B7BB5" w:rsidRDefault="004B7BB5" w:rsidP="004B7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PORODICU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BB5" w:rsidRDefault="004B7BB5" w:rsidP="004B7BB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B7BB5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B7BB5" w:rsidP="004B7B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7,30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B7BB5" w:rsidP="004B7BB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Latković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Ćorilić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Peranović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Berislav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rukovodilac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Injac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samostalni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savetnici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Olivera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Ružić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Poparić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Mirjana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Teovanović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Slobodan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Aćimović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Nikodinović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B7BB5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B7BB5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predsednice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BB5" w:rsidRDefault="004B7BB5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B7BB5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BB5" w:rsidRDefault="00426F46" w:rsidP="004B7B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Razdeo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25 –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400-4598/14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B7BB5" w:rsidRDefault="00426F46" w:rsidP="004B7B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BB5" w:rsidRDefault="004B7BB5" w:rsidP="004B7BB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B7BB5" w:rsidP="004B7BB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razmatranja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utvrđenog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usvojeni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zapisnici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</w:p>
    <w:p w:rsidR="004B7BB5" w:rsidRDefault="004B7BB5" w:rsidP="004B7BB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26F46" w:rsidP="004B7BB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Predloga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Republike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Razdeo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25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Ministarstvo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Predlogom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odluke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davanju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saglasnosti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fonda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Vlada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prezentuju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rebalansu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Berislavu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Vekiću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Berislav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Vekić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ukupan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12.234.214.000.00,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strukturi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ssredstva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11.376.892.000,00.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opredeljena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Upravu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biomedicinu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44.572.000,00;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finansiranje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Crvenog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krsta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300.000.000,00;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lečenje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oboljenja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stanja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povreda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uspešno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lečiti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Republici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512.750.000,00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pripremilo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Uputstvom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pripremu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projekcijom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limita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utvrđenim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Uputstvom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11.483.298,00.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Naknadno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odobreno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dodatnih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200.000.000,00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Projekat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izgradnje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opremanja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zdravstvenih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ustanova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čiji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osnivač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Republika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Srbija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nabavke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medicinske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opreme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investicija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investicionog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održavanja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hitne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popravke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opreme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medicinskim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ustanovama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Rebalans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smanjilo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troškove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odnose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kupovinu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roba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usluga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10-15%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zavisnosti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razdela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razdeo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423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10%,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ostali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razdeli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15%. -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popravke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održavanje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specijalizovane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usluge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stalni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troškovi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vodeći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računa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ugrozi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normalan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zdravstvenih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ustavova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Uputstvom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pripremu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projekcijom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obavezi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predvidi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potrebna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otpremnine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višak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očekivanog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odliva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zdravstvenim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ustanovama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2.300.000.000,00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Potom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sledeće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izvore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finansiranja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razdeo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25.0 -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BB5" w:rsidRPr="005F6582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Prihodi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8.063.586.000,00;</w:t>
      </w:r>
    </w:p>
    <w:p w:rsidR="004B7BB5" w:rsidRPr="005F6582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Donacije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međunarodnih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47.916.000,00</w:t>
      </w:r>
    </w:p>
    <w:p w:rsidR="004B7BB5" w:rsidRPr="005F6582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Dobrovoljni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transferi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fizičkih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pravnih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lica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3.000.000,00</w:t>
      </w:r>
    </w:p>
    <w:p w:rsidR="004B7BB5" w:rsidRPr="005F6582" w:rsidRDefault="004B7BB5" w:rsidP="004B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Primanja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inostranih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zaduživanja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iznosu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6582">
        <w:rPr>
          <w:rFonts w:ascii="Times New Roman" w:eastAsia="Times New Roman" w:hAnsi="Times New Roman" w:cs="Times New Roman"/>
          <w:sz w:val="24"/>
          <w:szCs w:val="24"/>
        </w:rPr>
        <w:t xml:space="preserve"> 3.262.390.000,00</w:t>
      </w:r>
    </w:p>
    <w:p w:rsidR="004B7BB5" w:rsidRDefault="00426F46" w:rsidP="004B7BB5">
      <w:pPr>
        <w:pStyle w:val="ListParagraph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rebalans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8,68%,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12.234.214.000,00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rebalansom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11.171.836.000,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8,68%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1.062.378.000, 00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finansira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glavnih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BB5" w:rsidRDefault="00426F46" w:rsidP="004B7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Uređenje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– 25,3% </w:t>
      </w:r>
      <w:r>
        <w:rPr>
          <w:rFonts w:ascii="Times New Roman" w:eastAsia="Times New Roman" w:hAnsi="Times New Roman" w:cs="Times New Roman"/>
          <w:sz w:val="24"/>
          <w:szCs w:val="24"/>
        </w:rPr>
        <w:t>učešća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2.878.532.000,00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BB5" w:rsidRDefault="00426F46" w:rsidP="004B7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Preventivna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– 9% </w:t>
      </w:r>
      <w:r>
        <w:rPr>
          <w:rFonts w:ascii="Times New Roman" w:eastAsia="Times New Roman" w:hAnsi="Times New Roman" w:cs="Times New Roman"/>
          <w:sz w:val="24"/>
          <w:szCs w:val="24"/>
        </w:rPr>
        <w:t>učešća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1.023.398.000,00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BB5" w:rsidRDefault="00426F46" w:rsidP="004B7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– 68,8% </w:t>
      </w:r>
      <w:r>
        <w:rPr>
          <w:rFonts w:ascii="Times New Roman" w:eastAsia="Times New Roman" w:hAnsi="Times New Roman" w:cs="Times New Roman"/>
          <w:sz w:val="24"/>
          <w:szCs w:val="24"/>
        </w:rPr>
        <w:t>učešća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6.919.202.000,00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BB5" w:rsidRDefault="00426F46" w:rsidP="004B7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Obezbeđivanje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sopstvenih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– 4,7% </w:t>
      </w:r>
      <w:r>
        <w:rPr>
          <w:rFonts w:ascii="Times New Roman" w:eastAsia="Times New Roman" w:hAnsi="Times New Roman" w:cs="Times New Roman"/>
          <w:sz w:val="24"/>
          <w:szCs w:val="24"/>
        </w:rPr>
        <w:t>učešća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537.760.000,00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7BB5" w:rsidRDefault="00426F46" w:rsidP="004B7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Podrška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udruženjima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– 0,16% </w:t>
      </w:r>
      <w:r>
        <w:rPr>
          <w:rFonts w:ascii="Times New Roman" w:eastAsia="Times New Roman" w:hAnsi="Times New Roman" w:cs="Times New Roman"/>
          <w:sz w:val="24"/>
          <w:szCs w:val="24"/>
        </w:rPr>
        <w:t>učešća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18.000.000,00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svrhe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funkciji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Batut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izdvojilo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153.292.000,00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727.192.000,00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omasovljavanju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dobrovoljnog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davalaštva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krvi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30.000.000,00;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virusologiju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serume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Torlak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“ 10.000.000,00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antirabičnu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Luj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1.500.000,00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Kancelariju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malignih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25.000.000,00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Kancelariju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duvana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nastalih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posledica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pušenja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2.000.000,00;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onkološke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“ 14.783.000,00;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kardiološke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Akcionog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33.631.000,00;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detekciju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Zapadnog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komaraca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izdvojeno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detekciju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izazivača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Lajmske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krpeljskog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encefalitisa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krpelja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bolesnika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astmom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hroničkom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opstruktivnom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pluća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preventivni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suzbijanja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zloupotrebe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droga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omladinu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4.000.000,00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detekciju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>dijabetesa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Rebublici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bolnice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</w:rPr>
        <w:t>Prijatelji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''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5.000.000,00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zarade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privremene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sprečenosti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komplikacija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održavanjem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trudnoće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1.380.000.000,00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državnoj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osnivač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izdvojeno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745.809.000,00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izdržavanju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kazne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zatvora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izvršenja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bezbednosti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psihijatrijskog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80.000.000,00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rekonstrukciju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kliničkih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Kragujevcu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Nišu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2.060.884.000,00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335.322.000,00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tipizaciju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tkiva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opšteg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5.000.000,00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hemofilije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urođenih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koagulopatija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transfuziju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1.450.000,00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obezbeđivanje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transplantaciju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odraslih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5.000.000,00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obezbeđivanje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transplantaciju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matičnih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ćelija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hematopoeze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25.000.000,00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palijativno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zbrinjavanje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zloupotrbe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psihoaktivnih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kontrolisanih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supstanci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2.491.000,00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Svetske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DILS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322.570.000,00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TBC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opserviranja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terapije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36.639.000,00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10.827.000,00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SIDU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tuberkulozu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CCM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450.000,00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2 1.139.820.000,00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– 2010. –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palijativnog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zbrinjavanja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17.940.000,00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informatizacije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jedinstveni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informacioni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720.000.000,00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obezbeđivanje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sopstvenih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537.760.000,00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udruženjima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ovlašćenja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Crvenom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krstu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15.000.000,00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društava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1.000.000.00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215.774.163.000,00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razdela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transferisano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4.553.082.000,00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Olivera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Ružić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Poparić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samostalni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urađen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ograničavajućim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mogućnostima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Napomenula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razdeo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25 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odražava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zajednički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BB5" w:rsidRDefault="00426F46" w:rsidP="004B7B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Slobodan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Aćimović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Planirani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215.774.163.000,00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4.610.000.000,00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2,09% </w:t>
      </w:r>
      <w:r>
        <w:rPr>
          <w:rFonts w:ascii="Times New Roman" w:eastAsia="Times New Roman" w:hAnsi="Times New Roman" w:cs="Times New Roman"/>
          <w:sz w:val="24"/>
          <w:szCs w:val="24"/>
        </w:rPr>
        <w:t>manji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rebalans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125.300.000.000,00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21.100.000.000,00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14,41% </w:t>
      </w:r>
      <w:r>
        <w:rPr>
          <w:rFonts w:ascii="Times New Roman" w:eastAsia="Times New Roman" w:hAnsi="Times New Roman" w:cs="Times New Roman"/>
          <w:sz w:val="24"/>
          <w:szCs w:val="24"/>
        </w:rPr>
        <w:t>manje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posledica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snagu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avgustu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12,3%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10,3%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strukturi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rashoda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transferi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 35.253.082.000,00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 w:rsidRPr="00D40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tranferi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51.948.171.000,00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ostali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prodaje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nefinansijske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imovine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3.272.910.000,00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Planirani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projektovani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parametara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215.774.163.000,00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licima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10.200.000.000,00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200.703.163.000,00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4.871.000.000,00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Finansijskim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rashodna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8.970.000.,00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3,99% </w:t>
      </w:r>
      <w:r>
        <w:rPr>
          <w:rFonts w:ascii="Times New Roman" w:eastAsia="Times New Roman" w:hAnsi="Times New Roman" w:cs="Times New Roman"/>
          <w:sz w:val="24"/>
          <w:szCs w:val="24"/>
        </w:rPr>
        <w:t>manje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Berislav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razdeo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8,68%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Rebalans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BB5" w:rsidRDefault="00426F46" w:rsidP="004B7B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učinjen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maksimum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BB5" w:rsidRDefault="00426F46" w:rsidP="004B7BB5">
      <w:pPr>
        <w:pStyle w:val="ListParagraph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</w:t>
      </w:r>
      <w:r w:rsidR="004B7B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rasprave</w:t>
      </w:r>
      <w:r w:rsidR="004B7B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4B7B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4B7BB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u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skladu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sa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članom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173.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stav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2.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Poslovnika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="004B7B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 w:rsidR="004B7B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većinom</w:t>
      </w:r>
      <w:r w:rsidR="004B7B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glasova</w:t>
      </w:r>
      <w:r w:rsidR="004B7BB5">
        <w:rPr>
          <w:rFonts w:ascii="Times New Roman" w:eastAsia="Calibri" w:hAnsi="Times New Roman" w:cs="Times New Roman"/>
          <w:bCs/>
          <w:sz w:val="24"/>
          <w:szCs w:val="24"/>
        </w:rPr>
        <w:t xml:space="preserve"> (12 </w:t>
      </w:r>
      <w:r>
        <w:rPr>
          <w:rFonts w:ascii="Times New Roman" w:eastAsia="Calibri" w:hAnsi="Times New Roman" w:cs="Times New Roman"/>
          <w:bCs/>
          <w:sz w:val="24"/>
          <w:szCs w:val="24"/>
        </w:rPr>
        <w:t>glasova</w:t>
      </w:r>
      <w:r w:rsidR="004B7B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za</w:t>
      </w:r>
      <w:r w:rsidR="004B7BB5">
        <w:rPr>
          <w:rFonts w:ascii="Times New Roman" w:eastAsia="Calibri" w:hAnsi="Times New Roman" w:cs="Times New Roman"/>
          <w:bCs/>
          <w:sz w:val="24"/>
          <w:szCs w:val="24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</w:rPr>
        <w:t>glas</w:t>
      </w:r>
      <w:r w:rsidR="004B7B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protiv</w:t>
      </w:r>
      <w:r w:rsidR="004B7BB5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</w:rPr>
        <w:t>da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predloži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Odboru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finasije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republički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budžet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i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kontrolu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trošenja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javnih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sredstava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prihvati</w:t>
      </w:r>
      <w:r w:rsidR="004B7BB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Razdeo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25 –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davanju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pStyle w:val="ListParagraph"/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pStyle w:val="ListParagraph"/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nastavku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Nikodinović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rebalansom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razdelu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izvršena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opremanja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osnivač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predviđenom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dinamikom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1.000.000.000,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2.704.000.000,00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1.704.000.000,00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Dodala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uputilo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uspelo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izmiri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dopisa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sindikata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upućenih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delatnosti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zadrže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sopstvenih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Darko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sopstvena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ostaju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BB5" w:rsidRDefault="00426F46" w:rsidP="004B7BB5">
      <w:pPr>
        <w:spacing w:line="240" w:lineRule="auto"/>
        <w:ind w:firstLine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Injac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podsetila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sopstveni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budžetskim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korisnicima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ukinuti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snagu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stvore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tehnički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Ocena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stekli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tehnički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ukidanje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videti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predviđen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izvor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04 </w:t>
      </w:r>
      <w:r>
        <w:rPr>
          <w:rFonts w:ascii="Times New Roman" w:eastAsia="Times New Roman" w:hAnsi="Times New Roman" w:cs="Times New Roman"/>
          <w:sz w:val="24"/>
          <w:szCs w:val="24"/>
        </w:rPr>
        <w:t>sopstveni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budžetskih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7BB5" w:rsidRPr="00730477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Takođe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iznela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planom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rada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ovog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ministarstva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</w:t>
      </w:r>
      <w:r w:rsidR="004B7BB5" w:rsidRPr="00730477">
        <w:rPr>
          <w:rFonts w:ascii="Times New Roman" w:hAnsi="Times New Roman" w:cs="Times New Roman"/>
          <w:sz w:val="24"/>
        </w:rPr>
        <w:t xml:space="preserve"> 2015. </w:t>
      </w:r>
      <w:r>
        <w:rPr>
          <w:rFonts w:ascii="Times New Roman" w:hAnsi="Times New Roman" w:cs="Times New Roman"/>
          <w:sz w:val="24"/>
        </w:rPr>
        <w:t>godinu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predvideli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izradu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novog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teksta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Zakona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budžetskom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sistemu</w:t>
      </w:r>
      <w:r w:rsidR="004B7BB5" w:rsidRPr="007304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obzirom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njegove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brojne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izmene</w:t>
      </w:r>
      <w:r w:rsidR="004B7BB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te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će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narednom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pereiodu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uraditi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sveobuhvatna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analiza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sagledati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trenutna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zakonska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rešenja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delu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koji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tiče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sopstvenih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prihoda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budžetskih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korisnika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korisnika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organizacija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obaveznog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socijalnog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osiguranja</w:t>
      </w:r>
      <w:r w:rsidR="004B7BB5" w:rsidRPr="007304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obzirom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pojedini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korisnici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trajno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izuzeti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uslovno</w:t>
      </w:r>
      <w:r w:rsidR="004B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trebalo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</w:t>
      </w:r>
      <w:r w:rsidR="004B7BB5" w:rsidRPr="007304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ukidaju</w:t>
      </w:r>
      <w:r w:rsidR="004B7BB5">
        <w:rPr>
          <w:rFonts w:ascii="Times New Roman" w:hAnsi="Times New Roman" w:cs="Times New Roman"/>
          <w:sz w:val="24"/>
        </w:rPr>
        <w:t xml:space="preserve"> 1. </w:t>
      </w:r>
      <w:r>
        <w:rPr>
          <w:rFonts w:ascii="Times New Roman" w:hAnsi="Times New Roman" w:cs="Times New Roman"/>
          <w:sz w:val="24"/>
        </w:rPr>
        <w:t>januara</w:t>
      </w:r>
      <w:r w:rsidR="004B7BB5">
        <w:rPr>
          <w:rFonts w:ascii="Times New Roman" w:hAnsi="Times New Roman" w:cs="Times New Roman"/>
          <w:sz w:val="24"/>
        </w:rPr>
        <w:t xml:space="preserve"> 2015. </w:t>
      </w:r>
      <w:r>
        <w:rPr>
          <w:rFonts w:ascii="Times New Roman" w:hAnsi="Times New Roman" w:cs="Times New Roman"/>
          <w:sz w:val="24"/>
        </w:rPr>
        <w:t>godine</w:t>
      </w:r>
      <w:r w:rsidR="004B7BB5">
        <w:rPr>
          <w:rFonts w:ascii="Times New Roman" w:hAnsi="Times New Roman" w:cs="Times New Roman"/>
          <w:sz w:val="24"/>
        </w:rPr>
        <w:t>.</w:t>
      </w:r>
    </w:p>
    <w:p w:rsidR="004B7BB5" w:rsidRPr="002B2C48" w:rsidRDefault="004B7BB5" w:rsidP="004B7BB5">
      <w:pPr>
        <w:spacing w:line="240" w:lineRule="auto"/>
        <w:ind w:firstLine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Slobodan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Aćimović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RFZO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podržao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odluku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imajući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svakodnevno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dobija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primedbe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zdravstvenih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ustanova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odluku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ukinu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sopstveni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prihodi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zakazana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Komore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zdravstvenih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ustanova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prestavnici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RFZO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pozvani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prisustvuju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pruže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inicijativi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komore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sopstveni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prihodi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ostanu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korišćenje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zdravstvenim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ustanovama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mogle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funkcionišu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46">
        <w:rPr>
          <w:rFonts w:ascii="Times New Roman" w:eastAsia="Times New Roman" w:hAnsi="Times New Roman" w:cs="Times New Roman"/>
          <w:sz w:val="24"/>
          <w:szCs w:val="24"/>
        </w:rPr>
        <w:t>istih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BB5">
        <w:rPr>
          <w:rFonts w:ascii="Times New Roman" w:eastAsia="Times New Roman" w:hAnsi="Times New Roman" w:cs="Times New Roman"/>
          <w:b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</w:p>
    <w:p w:rsidR="004B7BB5" w:rsidRDefault="004B7BB5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sugestija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B7BB5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26F46" w:rsidP="004B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 xml:space="preserve"> 8,15 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4B7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B5" w:rsidRDefault="004B7BB5" w:rsidP="004B7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4B7BB5" w:rsidRDefault="004B7BB5" w:rsidP="004B7BB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B7BB5" w:rsidRDefault="004B7BB5" w:rsidP="004B7BB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26F46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426F46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B7BB5" w:rsidRDefault="004B7BB5" w:rsidP="004B7BB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7BB5" w:rsidRDefault="004B7BB5" w:rsidP="004B7BB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426F46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26F46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 w:rsidR="00426F4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26F4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26F46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26F46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26F46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4B7BB5" w:rsidRDefault="004B7BB5" w:rsidP="004B7BB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7BB5" w:rsidRDefault="004B7BB5" w:rsidP="004B7BB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B5" w:rsidRDefault="004B7BB5" w:rsidP="004B7BB5"/>
    <w:p w:rsidR="004B7BB5" w:rsidRDefault="004B7BB5" w:rsidP="004B7BB5"/>
    <w:p w:rsidR="00031CD2" w:rsidRDefault="00031CD2"/>
    <w:sectPr w:rsidR="00031CD2" w:rsidSect="00851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9C" w:rsidRDefault="00B3749C">
      <w:pPr>
        <w:spacing w:after="0" w:line="240" w:lineRule="auto"/>
      </w:pPr>
      <w:r>
        <w:separator/>
      </w:r>
    </w:p>
  </w:endnote>
  <w:endnote w:type="continuationSeparator" w:id="0">
    <w:p w:rsidR="00B3749C" w:rsidRDefault="00B3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46" w:rsidRDefault="00426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46" w:rsidRDefault="00426F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46" w:rsidRDefault="00426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9C" w:rsidRDefault="00B3749C">
      <w:pPr>
        <w:spacing w:after="0" w:line="240" w:lineRule="auto"/>
      </w:pPr>
      <w:r>
        <w:separator/>
      </w:r>
    </w:p>
  </w:footnote>
  <w:footnote w:type="continuationSeparator" w:id="0">
    <w:p w:rsidR="00B3749C" w:rsidRDefault="00B3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46" w:rsidRDefault="00426F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0307" w:rsidRDefault="004B7B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F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0307" w:rsidRDefault="00B374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46" w:rsidRDefault="00426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45C6"/>
    <w:multiLevelType w:val="hybridMultilevel"/>
    <w:tmpl w:val="E0DC04A0"/>
    <w:lvl w:ilvl="0" w:tplc="289EA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568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2E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66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8A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C7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8E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21582"/>
    <w:multiLevelType w:val="hybridMultilevel"/>
    <w:tmpl w:val="637E42F4"/>
    <w:lvl w:ilvl="0" w:tplc="9C4E06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C0B0CC9A">
      <w:start w:val="1"/>
      <w:numFmt w:val="lowerLetter"/>
      <w:lvlText w:val="%2."/>
      <w:lvlJc w:val="left"/>
      <w:pPr>
        <w:ind w:left="1800" w:hanging="360"/>
      </w:pPr>
    </w:lvl>
    <w:lvl w:ilvl="2" w:tplc="BE28888C">
      <w:start w:val="1"/>
      <w:numFmt w:val="lowerRoman"/>
      <w:lvlText w:val="%3."/>
      <w:lvlJc w:val="right"/>
      <w:pPr>
        <w:ind w:left="2520" w:hanging="180"/>
      </w:pPr>
    </w:lvl>
    <w:lvl w:ilvl="3" w:tplc="FF5C2F24">
      <w:start w:val="1"/>
      <w:numFmt w:val="decimal"/>
      <w:lvlText w:val="%4."/>
      <w:lvlJc w:val="left"/>
      <w:pPr>
        <w:ind w:left="3240" w:hanging="360"/>
      </w:pPr>
    </w:lvl>
    <w:lvl w:ilvl="4" w:tplc="EDC42A68">
      <w:start w:val="1"/>
      <w:numFmt w:val="lowerLetter"/>
      <w:lvlText w:val="%5."/>
      <w:lvlJc w:val="left"/>
      <w:pPr>
        <w:ind w:left="3960" w:hanging="360"/>
      </w:pPr>
    </w:lvl>
    <w:lvl w:ilvl="5" w:tplc="43380C7C">
      <w:start w:val="1"/>
      <w:numFmt w:val="lowerRoman"/>
      <w:lvlText w:val="%6."/>
      <w:lvlJc w:val="right"/>
      <w:pPr>
        <w:ind w:left="4680" w:hanging="180"/>
      </w:pPr>
    </w:lvl>
    <w:lvl w:ilvl="6" w:tplc="31783ED2">
      <w:start w:val="1"/>
      <w:numFmt w:val="decimal"/>
      <w:lvlText w:val="%7."/>
      <w:lvlJc w:val="left"/>
      <w:pPr>
        <w:ind w:left="5400" w:hanging="360"/>
      </w:pPr>
    </w:lvl>
    <w:lvl w:ilvl="7" w:tplc="519412F8">
      <w:start w:val="1"/>
      <w:numFmt w:val="lowerLetter"/>
      <w:lvlText w:val="%8."/>
      <w:lvlJc w:val="left"/>
      <w:pPr>
        <w:ind w:left="6120" w:hanging="360"/>
      </w:pPr>
    </w:lvl>
    <w:lvl w:ilvl="8" w:tplc="2822E5A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C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26F46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B7BB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54C6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3749C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B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6F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4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B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6F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4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2015-02-27T08:04:00Z</dcterms:created>
  <dcterms:modified xsi:type="dcterms:W3CDTF">2015-02-27T08:04:00Z</dcterms:modified>
</cp:coreProperties>
</file>